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0062AC">
        <w:rPr>
          <w:b/>
          <w:sz w:val="24"/>
        </w:rPr>
        <w:t>Qualcomm, Incorporated</w:t>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0062AC">
        <w:rPr>
          <w:b/>
          <w:sz w:val="24"/>
        </w:rPr>
        <w:t>Proposal for a Common Informative Reference Renderer</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6870E3">
        <w:rPr>
          <w:lang w:val="en-GB"/>
        </w:rPr>
        <w:t>Discussion</w:t>
      </w:r>
      <w:r w:rsidR="00185584" w:rsidRPr="006D5CB2">
        <w:rPr>
          <w:lang w:val="en-GB"/>
        </w:rPr>
        <w:t xml:space="preserve"> </w:t>
      </w:r>
    </w:p>
    <w:p w:rsidR="00D54E12" w:rsidRPr="006D5CB2" w:rsidRDefault="00904F53" w:rsidP="0038551D">
      <w:pPr>
        <w:pStyle w:val="Heading2"/>
        <w:spacing w:line="240" w:lineRule="auto"/>
        <w:rPr>
          <w:lang w:val="en-GB"/>
        </w:rPr>
      </w:pPr>
      <w:r>
        <w:rPr>
          <w:lang w:val="en-GB"/>
        </w:rPr>
        <w:t>Agenda Item:</w:t>
      </w:r>
      <w:r>
        <w:rPr>
          <w:lang w:val="en-GB"/>
        </w:rPr>
        <w:tab/>
      </w:r>
      <w:r w:rsidR="000062AC">
        <w:rPr>
          <w:lang w:val="en-GB"/>
        </w:rPr>
        <w:t>10</w:t>
      </w:r>
      <w:r w:rsidR="004F1252">
        <w:rPr>
          <w:lang w:val="en-GB"/>
        </w:rPr>
        <w:t>.6</w:t>
      </w:r>
    </w:p>
    <w:p w:rsidR="004E2448" w:rsidRDefault="004E2448" w:rsidP="0038551D">
      <w:pPr>
        <w:pBdr>
          <w:top w:val="single" w:sz="12" w:space="1" w:color="auto"/>
        </w:pBdr>
        <w:spacing w:after="0" w:line="240" w:lineRule="auto"/>
        <w:rPr>
          <w:sz w:val="20"/>
        </w:rPr>
      </w:pPr>
    </w:p>
    <w:p w:rsidR="004E2448" w:rsidRPr="00C50FEB" w:rsidRDefault="004E2448" w:rsidP="00C50FEB">
      <w:pPr>
        <w:pStyle w:val="Heading1"/>
        <w:numPr>
          <w:ilvl w:val="0"/>
          <w:numId w:val="7"/>
        </w:numPr>
        <w:jc w:val="both"/>
        <w:rPr>
          <w:rFonts w:eastAsia="Times New Roman"/>
          <w:b/>
        </w:rPr>
      </w:pPr>
      <w:r w:rsidRPr="00C50FEB">
        <w:rPr>
          <w:rFonts w:eastAsia="Times New Roman"/>
          <w:b/>
        </w:rPr>
        <w:t>Introduction</w:t>
      </w:r>
    </w:p>
    <w:p w:rsidR="00C7092D" w:rsidRDefault="00033ADA" w:rsidP="000062AC">
      <w:pPr>
        <w:rPr>
          <w:lang w:val="en-US"/>
        </w:rPr>
      </w:pPr>
      <w:r>
        <w:rPr>
          <w:lang w:val="en-US"/>
        </w:rPr>
        <w:t xml:space="preserve">The work item </w:t>
      </w:r>
      <w:proofErr w:type="spellStart"/>
      <w:r w:rsidR="000062AC">
        <w:rPr>
          <w:lang w:val="en-US"/>
        </w:rPr>
        <w:t>VRStream</w:t>
      </w:r>
      <w:proofErr w:type="spellEnd"/>
      <w:r>
        <w:rPr>
          <w:lang w:val="en-US"/>
        </w:rPr>
        <w:t xml:space="preserve"> </w:t>
      </w:r>
      <w:r w:rsidR="000062AC">
        <w:rPr>
          <w:lang w:val="en-US"/>
        </w:rPr>
        <w:t xml:space="preserve">must define media profiles for VR Streaming. While a media profile may have a companion audio rendering scheme, OEMs may choose to differentiate using proprietary audio renderers and/or adopt a common renderer that serves multiple media profiles. This contribution proposes a way forward for handling audio rendering aspects with a proposal for a Common Informative Reference Renderer. </w:t>
      </w:r>
    </w:p>
    <w:p w:rsidR="00434E0B" w:rsidRDefault="000062AC" w:rsidP="00434E0B">
      <w:pPr>
        <w:pStyle w:val="Heading1"/>
        <w:numPr>
          <w:ilvl w:val="0"/>
          <w:numId w:val="7"/>
        </w:numPr>
        <w:jc w:val="both"/>
        <w:rPr>
          <w:rFonts w:eastAsia="Times New Roman"/>
          <w:b/>
        </w:rPr>
      </w:pPr>
      <w:r>
        <w:rPr>
          <w:rFonts w:eastAsia="Times New Roman"/>
          <w:b/>
        </w:rPr>
        <w:t>Proposal for VR Stream Audio Rendering</w:t>
      </w:r>
    </w:p>
    <w:p w:rsidR="000062AC" w:rsidRPr="000062AC" w:rsidRDefault="000062AC" w:rsidP="000062AC">
      <w:pPr>
        <w:rPr>
          <w:lang w:val="en-US"/>
        </w:rPr>
      </w:pPr>
      <w:r w:rsidRPr="000062AC">
        <w:rPr>
          <w:lang w:val="en-US"/>
        </w:rPr>
        <w:t xml:space="preserve">The </w:t>
      </w:r>
      <w:r>
        <w:rPr>
          <w:lang w:val="en-US"/>
        </w:rPr>
        <w:t xml:space="preserve">proposed </w:t>
      </w:r>
      <w:r w:rsidRPr="000062AC">
        <w:rPr>
          <w:lang w:val="en-US"/>
        </w:rPr>
        <w:t xml:space="preserve">architecture for VR Stream </w:t>
      </w:r>
      <w:r>
        <w:rPr>
          <w:lang w:val="en-US"/>
        </w:rPr>
        <w:t xml:space="preserve">Audio </w:t>
      </w:r>
      <w:r w:rsidRPr="000062AC">
        <w:rPr>
          <w:lang w:val="en-US"/>
        </w:rPr>
        <w:t xml:space="preserve">Rendering allows the possibility of using either an </w:t>
      </w:r>
      <w:r w:rsidRPr="000062AC">
        <w:rPr>
          <w:i/>
          <w:lang w:val="en-US"/>
        </w:rPr>
        <w:t>Internal Renderer</w:t>
      </w:r>
      <w:r w:rsidRPr="000062AC">
        <w:rPr>
          <w:lang w:val="en-US"/>
        </w:rPr>
        <w:t xml:space="preserve">, an </w:t>
      </w:r>
      <w:r w:rsidRPr="000062AC">
        <w:rPr>
          <w:i/>
          <w:lang w:val="en-US"/>
        </w:rPr>
        <w:t>External Renderer</w:t>
      </w:r>
      <w:r w:rsidRPr="000062AC">
        <w:rPr>
          <w:lang w:val="en-US"/>
        </w:rPr>
        <w:t xml:space="preserve"> or a </w:t>
      </w:r>
      <w:r w:rsidRPr="000062AC">
        <w:rPr>
          <w:i/>
          <w:lang w:val="en-US"/>
        </w:rPr>
        <w:t>Common Informative Reference Renderer</w:t>
      </w:r>
      <w:r>
        <w:rPr>
          <w:lang w:val="en-US"/>
        </w:rPr>
        <w:t xml:space="preserve">. Definitions for these terms are provided in </w:t>
      </w:r>
      <w:sdt>
        <w:sdtPr>
          <w:rPr>
            <w:lang w:val="en-US"/>
          </w:rPr>
          <w:id w:val="-939296451"/>
          <w:citation/>
        </w:sdtPr>
        <w:sdtContent>
          <w:r w:rsidR="008A64B8">
            <w:rPr>
              <w:lang w:val="en-US"/>
            </w:rPr>
            <w:fldChar w:fldCharType="begin"/>
          </w:r>
          <w:r w:rsidR="008A64B8">
            <w:rPr>
              <w:lang w:val="en-US"/>
            </w:rPr>
            <w:instrText xml:space="preserve">CITATION S4180139 \l 1033 </w:instrText>
          </w:r>
          <w:r w:rsidR="008A64B8">
            <w:rPr>
              <w:lang w:val="en-US"/>
            </w:rPr>
            <w:fldChar w:fldCharType="separate"/>
          </w:r>
          <w:r w:rsidR="008A64B8" w:rsidRPr="008A64B8">
            <w:rPr>
              <w:noProof/>
              <w:lang w:val="en-US"/>
            </w:rPr>
            <w:t>[1]</w:t>
          </w:r>
          <w:r w:rsidR="008A64B8">
            <w:rPr>
              <w:lang w:val="en-US"/>
            </w:rPr>
            <w:fldChar w:fldCharType="end"/>
          </w:r>
        </w:sdtContent>
      </w:sdt>
      <w:r>
        <w:rPr>
          <w:lang w:val="en-US"/>
        </w:rPr>
        <w:t xml:space="preserve">. </w:t>
      </w:r>
      <w:r w:rsidRPr="000062AC">
        <w:rPr>
          <w:lang w:val="en-US"/>
        </w:rPr>
        <w:t>This flexible architecture enables a range of different implementations.</w:t>
      </w:r>
    </w:p>
    <w:p w:rsidR="000062AC" w:rsidRPr="000062AC" w:rsidRDefault="000062AC" w:rsidP="000062AC">
      <w:pPr>
        <w:rPr>
          <w:lang w:val="en-US"/>
        </w:rPr>
      </w:pPr>
      <w:r w:rsidRPr="000062AC">
        <w:rPr>
          <w:lang w:val="en-US"/>
        </w:rPr>
        <w:t xml:space="preserve">Figure [1] provides an overview of the VR Stream binaural audio rendering architecture when using the </w:t>
      </w:r>
      <w:r w:rsidRPr="000062AC">
        <w:rPr>
          <w:i/>
          <w:lang w:val="en-US"/>
        </w:rPr>
        <w:t>Internal Renderer</w:t>
      </w:r>
      <w:r w:rsidRPr="000062AC">
        <w:rPr>
          <w:lang w:val="en-US"/>
        </w:rPr>
        <w:t xml:space="preserve">. When using the </w:t>
      </w:r>
      <w:r w:rsidRPr="000062AC">
        <w:rPr>
          <w:i/>
          <w:lang w:val="en-US"/>
        </w:rPr>
        <w:t>Internal Renderer</w:t>
      </w:r>
      <w:r w:rsidRPr="000062AC">
        <w:rPr>
          <w:lang w:val="en-US"/>
        </w:rPr>
        <w:t>, all components are integrated within the VR Stream proposed solution</w:t>
      </w:r>
      <w:r>
        <w:rPr>
          <w:lang w:val="en-US"/>
        </w:rPr>
        <w:t xml:space="preserve"> and no interfaces to connect with </w:t>
      </w:r>
      <w:r>
        <w:rPr>
          <w:i/>
          <w:lang w:val="en-US"/>
        </w:rPr>
        <w:t>External Renderers</w:t>
      </w:r>
      <w:r>
        <w:rPr>
          <w:lang w:val="en-US"/>
        </w:rPr>
        <w:t xml:space="preserve"> are needed</w:t>
      </w:r>
      <w:r w:rsidRPr="000062AC">
        <w:rPr>
          <w:lang w:val="en-US"/>
        </w:rPr>
        <w:t xml:space="preserve">. </w:t>
      </w:r>
      <w:r>
        <w:rPr>
          <w:lang w:val="en-US"/>
        </w:rPr>
        <w:t xml:space="preserve">It is expected that the </w:t>
      </w:r>
      <w:r>
        <w:rPr>
          <w:i/>
          <w:lang w:val="en-US"/>
        </w:rPr>
        <w:t>Internal Renderer</w:t>
      </w:r>
      <w:r>
        <w:rPr>
          <w:lang w:val="en-US"/>
        </w:rPr>
        <w:t xml:space="preserve"> is optimized to deliver a </w:t>
      </w:r>
      <w:proofErr w:type="gramStart"/>
      <w:r>
        <w:rPr>
          <w:lang w:val="en-US"/>
        </w:rPr>
        <w:t>high quality</w:t>
      </w:r>
      <w:proofErr w:type="gramEnd"/>
      <w:r>
        <w:rPr>
          <w:lang w:val="en-US"/>
        </w:rPr>
        <w:t xml:space="preserve"> performance when used with its companion media profile.</w:t>
      </w:r>
    </w:p>
    <w:p w:rsidR="000062AC" w:rsidRPr="000062AC" w:rsidRDefault="000062AC" w:rsidP="000062AC">
      <w:pPr>
        <w:rPr>
          <w:lang w:val="en-US"/>
        </w:rPr>
      </w:pPr>
      <w:r w:rsidRPr="000062AC">
        <w:rPr>
          <w:lang w:val="en-US"/>
        </w:rPr>
        <w:t xml:space="preserve"> </w:t>
      </w:r>
      <w:r>
        <w:rPr>
          <w:rFonts w:eastAsia="Times New Roman"/>
          <w:noProof/>
        </w:rPr>
        <w:drawing>
          <wp:inline distT="0" distB="0" distL="0" distR="0" wp14:anchorId="2E4293E7" wp14:editId="4B30C38F">
            <wp:extent cx="4431755" cy="2692400"/>
            <wp:effectExtent l="0" t="0" r="6985" b="0"/>
            <wp:docPr id="8" name="Picture 8" descr="cid:FE3120EC-9FAC-4489-8717-E9AFA18FF3C0@san.r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3C25FAC-EA43-4764-A665-230F6AF7EF20" descr="cid:FE3120EC-9FAC-4489-8717-E9AFA18FF3C0@san.rr.com"/>
                    <pic:cNvPicPr>
                      <a:picLocks noChangeAspect="1" noChangeArrowheads="1"/>
                    </pic:cNvPicPr>
                  </pic:nvPicPr>
                  <pic:blipFill rotWithShape="1">
                    <a:blip r:embed="rId8" r:link="rId9" cstate="print">
                      <a:extLst>
                        <a:ext uri="{28A0092B-C50C-407E-A947-70E740481C1C}">
                          <a14:useLocalDpi xmlns:a14="http://schemas.microsoft.com/office/drawing/2010/main" val="0"/>
                        </a:ext>
                      </a:extLst>
                    </a:blip>
                    <a:srcRect/>
                    <a:stretch/>
                  </pic:blipFill>
                  <pic:spPr bwMode="auto">
                    <a:xfrm>
                      <a:off x="0" y="0"/>
                      <a:ext cx="4458959" cy="2708927"/>
                    </a:xfrm>
                    <a:prstGeom prst="rect">
                      <a:avLst/>
                    </a:prstGeom>
                    <a:noFill/>
                    <a:ln>
                      <a:noFill/>
                    </a:ln>
                    <a:extLst>
                      <a:ext uri="{53640926-AAD7-44D8-BBD7-CCE9431645EC}">
                        <a14:shadowObscured xmlns:a14="http://schemas.microsoft.com/office/drawing/2010/main"/>
                      </a:ext>
                    </a:extLst>
                  </pic:spPr>
                </pic:pic>
              </a:graphicData>
            </a:graphic>
          </wp:inline>
        </w:drawing>
      </w:r>
    </w:p>
    <w:p w:rsidR="000062AC" w:rsidRPr="000062AC" w:rsidRDefault="000062AC" w:rsidP="000062AC">
      <w:pPr>
        <w:rPr>
          <w:lang w:val="en-US"/>
        </w:rPr>
      </w:pPr>
      <w:r w:rsidRPr="000062AC">
        <w:rPr>
          <w:lang w:val="en-US"/>
        </w:rPr>
        <w:t>Figure 1 - VR Stream binaural audio rendering with Internal Renderer</w:t>
      </w:r>
    </w:p>
    <w:p w:rsidR="000062AC" w:rsidRPr="000062AC" w:rsidRDefault="000062AC" w:rsidP="000062AC">
      <w:pPr>
        <w:rPr>
          <w:lang w:val="en-US"/>
        </w:rPr>
      </w:pPr>
      <w:r w:rsidRPr="000062AC">
        <w:rPr>
          <w:lang w:val="en-US"/>
        </w:rPr>
        <w:t xml:space="preserve">Figure [2] provides an overview of the VR Stream binaural audio rendering architecture when using an </w:t>
      </w:r>
      <w:r w:rsidRPr="000062AC">
        <w:rPr>
          <w:i/>
          <w:lang w:val="en-US"/>
        </w:rPr>
        <w:t>External Renderer</w:t>
      </w:r>
      <w:r w:rsidRPr="000062AC">
        <w:rPr>
          <w:lang w:val="en-US"/>
        </w:rPr>
        <w:t xml:space="preserve">. When using an </w:t>
      </w:r>
      <w:r w:rsidRPr="000062AC">
        <w:rPr>
          <w:i/>
          <w:lang w:val="en-US"/>
        </w:rPr>
        <w:t>External Renderer</w:t>
      </w:r>
      <w:r w:rsidRPr="000062AC">
        <w:rPr>
          <w:lang w:val="en-US"/>
        </w:rPr>
        <w:t xml:space="preserve">, the VR Stream Decoder interfaces with the </w:t>
      </w:r>
      <w:r w:rsidRPr="000062AC">
        <w:rPr>
          <w:i/>
          <w:lang w:val="en-US"/>
        </w:rPr>
        <w:t>External Renderer</w:t>
      </w:r>
      <w:r w:rsidRPr="000062AC">
        <w:rPr>
          <w:lang w:val="en-US"/>
        </w:rPr>
        <w:t xml:space="preserve"> through the </w:t>
      </w:r>
      <w:r w:rsidRPr="000062AC">
        <w:rPr>
          <w:i/>
          <w:lang w:val="en-US"/>
        </w:rPr>
        <w:t>External Renderer API</w:t>
      </w:r>
      <w:r w:rsidRPr="000062AC">
        <w:rPr>
          <w:lang w:val="en-US"/>
        </w:rPr>
        <w:t xml:space="preserve">. Channels, Objects and Scene-based audio are sent from the VR Stream decoder to the </w:t>
      </w:r>
      <w:r w:rsidRPr="000062AC">
        <w:rPr>
          <w:i/>
          <w:lang w:val="en-US"/>
        </w:rPr>
        <w:t>External Renderer</w:t>
      </w:r>
      <w:r w:rsidRPr="000062AC">
        <w:rPr>
          <w:lang w:val="en-US"/>
        </w:rPr>
        <w:t>, along with the appropriate metadata and configuration information.</w:t>
      </w:r>
    </w:p>
    <w:p w:rsidR="000062AC" w:rsidRPr="000062AC" w:rsidRDefault="000062AC" w:rsidP="000062AC">
      <w:pPr>
        <w:rPr>
          <w:lang w:val="en-US"/>
        </w:rPr>
      </w:pPr>
      <w:r w:rsidRPr="000062AC">
        <w:rPr>
          <w:lang w:val="en-US"/>
        </w:rPr>
        <w:t xml:space="preserve"> </w:t>
      </w:r>
      <w:r w:rsidRPr="00256D84">
        <w:rPr>
          <w:rFonts w:ascii="Calibri" w:eastAsia="Times New Roman" w:hAnsi="Calibri" w:cs="Calibri"/>
          <w:noProof/>
          <w:szCs w:val="22"/>
        </w:rPr>
        <w:lastRenderedPageBreak/>
        <w:drawing>
          <wp:inline distT="0" distB="0" distL="0" distR="0" wp14:anchorId="79460F4E" wp14:editId="0FC60D70">
            <wp:extent cx="5936615" cy="3217041"/>
            <wp:effectExtent l="0" t="0" r="6985" b="2540"/>
            <wp:docPr id="9" name="80FA161D-4CE1-43F7-83DB-48EFA30A99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FA161D-4CE1-43F7-83DB-48EFA30A994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6615" cy="3217041"/>
                    </a:xfrm>
                    <a:prstGeom prst="rect">
                      <a:avLst/>
                    </a:prstGeom>
                    <a:noFill/>
                    <a:ln>
                      <a:noFill/>
                    </a:ln>
                  </pic:spPr>
                </pic:pic>
              </a:graphicData>
            </a:graphic>
          </wp:inline>
        </w:drawing>
      </w:r>
    </w:p>
    <w:p w:rsidR="000062AC" w:rsidRPr="000062AC" w:rsidRDefault="000062AC" w:rsidP="000062AC">
      <w:pPr>
        <w:rPr>
          <w:lang w:val="en-US"/>
        </w:rPr>
      </w:pPr>
      <w:r w:rsidRPr="000062AC">
        <w:rPr>
          <w:lang w:val="en-US"/>
        </w:rPr>
        <w:t>Figure 2 - VR Stream binaural audio rendering with External Renderer</w:t>
      </w:r>
    </w:p>
    <w:p w:rsidR="000062AC" w:rsidRPr="000062AC" w:rsidRDefault="000062AC" w:rsidP="000062AC">
      <w:pPr>
        <w:rPr>
          <w:lang w:val="en-US"/>
        </w:rPr>
      </w:pPr>
      <w:r w:rsidRPr="000062AC">
        <w:rPr>
          <w:lang w:val="en-US"/>
        </w:rPr>
        <w:t>Figure [3] provides an overview of the VR Stream binaural audio rendering architecture when using the Common Informative Reference Renderer (CIRR). When using the CIRR, objects and channels are first rendered to a set of virtual speaker positions (</w:t>
      </w:r>
      <w:proofErr w:type="spellStart"/>
      <w:r w:rsidRPr="000062AC">
        <w:rPr>
          <w:lang w:val="en-US"/>
        </w:rPr>
        <w:t>Fliege</w:t>
      </w:r>
      <w:proofErr w:type="spellEnd"/>
      <w:r w:rsidRPr="000062AC">
        <w:rPr>
          <w:lang w:val="en-US"/>
        </w:rPr>
        <w:t xml:space="preserve"> Points). Either 4, 8, 16 or 25 virtual speaker positions are supported. This first rendering </w:t>
      </w:r>
      <w:r>
        <w:rPr>
          <w:lang w:val="en-US"/>
        </w:rPr>
        <w:t xml:space="preserve">step </w:t>
      </w:r>
      <w:r w:rsidRPr="000062AC">
        <w:rPr>
          <w:lang w:val="en-US"/>
        </w:rPr>
        <w:t xml:space="preserve">can be performed either through the </w:t>
      </w:r>
      <w:r w:rsidRPr="000062AC">
        <w:rPr>
          <w:i/>
          <w:lang w:val="en-US"/>
        </w:rPr>
        <w:t>Internal Renderer</w:t>
      </w:r>
      <w:r w:rsidRPr="000062AC">
        <w:rPr>
          <w:lang w:val="en-US"/>
        </w:rPr>
        <w:t xml:space="preserve"> or an </w:t>
      </w:r>
      <w:r w:rsidRPr="000062AC">
        <w:rPr>
          <w:i/>
          <w:lang w:val="en-US"/>
        </w:rPr>
        <w:t>External Renderer</w:t>
      </w:r>
      <w:r w:rsidRPr="000062AC">
        <w:rPr>
          <w:lang w:val="en-US"/>
        </w:rPr>
        <w:t xml:space="preserve">. Any Higher Order </w:t>
      </w:r>
      <w:proofErr w:type="spellStart"/>
      <w:r w:rsidRPr="000062AC">
        <w:rPr>
          <w:lang w:val="en-US"/>
        </w:rPr>
        <w:t>Ambisonics</w:t>
      </w:r>
      <w:proofErr w:type="spellEnd"/>
      <w:r w:rsidRPr="000062AC">
        <w:rPr>
          <w:lang w:val="en-US"/>
        </w:rPr>
        <w:t xml:space="preserve"> (HOA) content is converted into a </w:t>
      </w:r>
      <w:r w:rsidRPr="000062AC">
        <w:rPr>
          <w:i/>
          <w:lang w:val="en-US"/>
        </w:rPr>
        <w:t>Spatial Equivalent Domain Representation</w:t>
      </w:r>
      <w:r w:rsidRPr="000062AC">
        <w:rPr>
          <w:lang w:val="en-US"/>
        </w:rPr>
        <w:t xml:space="preserve"> using the virtual speaker positions.  All signals rendered at the virtual speaker positions are then mixed and converted into a HOA representation by the CIRR. Finally, the CIRR renders the binaural signals. </w:t>
      </w:r>
    </w:p>
    <w:p w:rsidR="000062AC" w:rsidRDefault="000062AC" w:rsidP="000062AC">
      <w:pPr>
        <w:rPr>
          <w:lang w:val="en-US"/>
        </w:rPr>
      </w:pPr>
      <w:r w:rsidRPr="00213E9C">
        <w:rPr>
          <w:rFonts w:ascii="Calibri" w:eastAsia="Times New Roman" w:hAnsi="Calibri" w:cs="Calibri"/>
          <w:noProof/>
          <w:szCs w:val="22"/>
        </w:rPr>
        <w:drawing>
          <wp:inline distT="0" distB="0" distL="0" distR="0" wp14:anchorId="3C4BAA82" wp14:editId="3DD91A5D">
            <wp:extent cx="5936615" cy="3499447"/>
            <wp:effectExtent l="0" t="0" r="6985" b="6350"/>
            <wp:docPr id="10" name="496618C0-76B4-476B-855E-EF33CD975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96618C0-76B4-476B-855E-EF33CD97534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5936615" cy="3499447"/>
                    </a:xfrm>
                    <a:prstGeom prst="rect">
                      <a:avLst/>
                    </a:prstGeom>
                    <a:noFill/>
                    <a:ln>
                      <a:noFill/>
                    </a:ln>
                    <a:extLst>
                      <a:ext uri="{53640926-AAD7-44D8-BBD7-CCE9431645EC}">
                        <a14:shadowObscured xmlns:a14="http://schemas.microsoft.com/office/drawing/2010/main"/>
                      </a:ext>
                    </a:extLst>
                  </pic:spPr>
                </pic:pic>
              </a:graphicData>
            </a:graphic>
          </wp:inline>
        </w:drawing>
      </w:r>
    </w:p>
    <w:p w:rsidR="000062AC" w:rsidRDefault="000062AC" w:rsidP="000062AC">
      <w:pPr>
        <w:rPr>
          <w:lang w:val="en-US"/>
        </w:rPr>
      </w:pPr>
      <w:r w:rsidRPr="000062AC">
        <w:rPr>
          <w:lang w:val="en-US"/>
        </w:rPr>
        <w:t>Figure 3 - VR Stream binaural rendering with Common Informative Reference Renderer</w:t>
      </w:r>
    </w:p>
    <w:p w:rsidR="000062AC" w:rsidRPr="000062AC" w:rsidRDefault="000062AC" w:rsidP="000062AC">
      <w:pPr>
        <w:rPr>
          <w:lang w:val="en-US"/>
        </w:rPr>
      </w:pPr>
    </w:p>
    <w:p w:rsidR="000062AC" w:rsidRPr="000062AC" w:rsidRDefault="000062AC" w:rsidP="000062AC">
      <w:pPr>
        <w:rPr>
          <w:lang w:val="en-US"/>
        </w:rPr>
      </w:pPr>
      <w:r w:rsidRPr="000062AC">
        <w:rPr>
          <w:lang w:val="en-US"/>
        </w:rPr>
        <w:t xml:space="preserve">When the objects, channels and scene-base audio signals are mixed and converted into the HOA format, a low complexity sound-field rotation operation can be realized as close as </w:t>
      </w:r>
      <w:r w:rsidRPr="000062AC">
        <w:rPr>
          <w:lang w:val="en-US"/>
        </w:rPr>
        <w:lastRenderedPageBreak/>
        <w:t xml:space="preserve">possible to the binaural rendering point - potentially in a separate headset device – enabling low motion to sound latency and a fixed complexity for a given HOA order (regardless of the number of channels and objects). Other rendering steps, with potentially higher latency and computational demands, can be performed closer to the decoder operation and synchronized with the video (e.g. on a computer or mobile phone). These other rendering steps are performed by either the </w:t>
      </w:r>
      <w:r w:rsidRPr="000062AC">
        <w:rPr>
          <w:i/>
          <w:lang w:val="en-US"/>
        </w:rPr>
        <w:t xml:space="preserve">Internal </w:t>
      </w:r>
      <w:r w:rsidRPr="000062AC">
        <w:rPr>
          <w:lang w:val="en-US"/>
        </w:rPr>
        <w:t>or</w:t>
      </w:r>
      <w:r w:rsidRPr="000062AC">
        <w:rPr>
          <w:i/>
          <w:lang w:val="en-US"/>
        </w:rPr>
        <w:t xml:space="preserve"> External renderer</w:t>
      </w:r>
      <w:r w:rsidRPr="000062AC">
        <w:rPr>
          <w:lang w:val="en-US"/>
        </w:rPr>
        <w:t xml:space="preserve">. Where necessary, devices implementing CIRR can further reduce complexity by reducing the </w:t>
      </w:r>
      <w:proofErr w:type="spellStart"/>
      <w:r w:rsidRPr="000062AC">
        <w:rPr>
          <w:lang w:val="en-US"/>
        </w:rPr>
        <w:t>Ambisonics</w:t>
      </w:r>
      <w:proofErr w:type="spellEnd"/>
      <w:r w:rsidRPr="000062AC">
        <w:rPr>
          <w:lang w:val="en-US"/>
        </w:rPr>
        <w:t xml:space="preserve"> or</w:t>
      </w:r>
      <w:r w:rsidR="008A64B8">
        <w:rPr>
          <w:lang w:val="en-US"/>
        </w:rPr>
        <w:t>der on the rendering operation.</w:t>
      </w:r>
    </w:p>
    <w:p w:rsidR="000062AC" w:rsidRPr="000062AC" w:rsidRDefault="000062AC" w:rsidP="000062AC">
      <w:pPr>
        <w:pStyle w:val="Heading2"/>
        <w:numPr>
          <w:ilvl w:val="0"/>
          <w:numId w:val="7"/>
        </w:numPr>
        <w:tabs>
          <w:tab w:val="clear" w:pos="2127"/>
        </w:tabs>
      </w:pPr>
      <w:r>
        <w:t>Proposal</w:t>
      </w:r>
    </w:p>
    <w:p w:rsidR="000062AC" w:rsidRDefault="000062AC">
      <w:pPr>
        <w:rPr>
          <w:lang w:val="en-US"/>
        </w:rPr>
      </w:pPr>
      <w:r>
        <w:rPr>
          <w:lang w:val="en-US"/>
        </w:rPr>
        <w:t xml:space="preserve">The source proposes to include the contents of this contribution to </w:t>
      </w:r>
      <w:r w:rsidR="008A64B8">
        <w:rPr>
          <w:lang w:val="en-US"/>
        </w:rPr>
        <w:t>TS 26.118.</w:t>
      </w:r>
      <w:bookmarkStart w:id="0" w:name="_GoBack"/>
      <w:bookmarkEnd w:id="0"/>
    </w:p>
    <w:p w:rsidR="008A64B8" w:rsidRDefault="008A64B8" w:rsidP="008A64B8">
      <w:pPr>
        <w:pStyle w:val="Heading2"/>
        <w:tabs>
          <w:tab w:val="clear" w:pos="2127"/>
        </w:tabs>
        <w:ind w:left="720" w:hanging="720"/>
        <w:rPr>
          <w:rFonts w:ascii="Times New Roman" w:hAnsi="Times New Roman"/>
          <w:noProof/>
          <w:sz w:val="20"/>
          <w:lang w:val="de-DE" w:eastAsia="de-DE"/>
        </w:rPr>
      </w:pPr>
      <w:r>
        <w:t xml:space="preserve">4. </w:t>
      </w:r>
      <w:r>
        <w:tab/>
      </w:r>
      <w:r w:rsidR="00D4513D">
        <w:t>References</w:t>
      </w:r>
      <w:r w:rsidR="00D4513D">
        <w:fldChar w:fldCharType="begin"/>
      </w:r>
      <w:r w:rsidR="00D4513D" w:rsidRPr="0070058D">
        <w:instrText xml:space="preserve"> BIBLIOGRAPHY  \l 1031 </w:instrText>
      </w:r>
      <w:r w:rsidR="00D4513D">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8A64B8">
        <w:trPr>
          <w:divId w:val="877353909"/>
          <w:tblCellSpacing w:w="15" w:type="dxa"/>
        </w:trPr>
        <w:tc>
          <w:tcPr>
            <w:tcW w:w="50" w:type="pct"/>
            <w:hideMark/>
          </w:tcPr>
          <w:p w:rsidR="008A64B8" w:rsidRDefault="008A64B8">
            <w:pPr>
              <w:pStyle w:val="Bibliography"/>
              <w:rPr>
                <w:noProof/>
                <w:sz w:val="24"/>
                <w:szCs w:val="24"/>
                <w:lang w:val="de-DE"/>
              </w:rPr>
            </w:pPr>
            <w:r>
              <w:rPr>
                <w:noProof/>
                <w:lang w:val="de-DE"/>
              </w:rPr>
              <w:t xml:space="preserve">[1] </w:t>
            </w:r>
          </w:p>
        </w:tc>
        <w:tc>
          <w:tcPr>
            <w:tcW w:w="0" w:type="auto"/>
            <w:hideMark/>
          </w:tcPr>
          <w:p w:rsidR="008A64B8" w:rsidRDefault="008A64B8">
            <w:pPr>
              <w:pStyle w:val="Bibliography"/>
              <w:rPr>
                <w:noProof/>
                <w:lang w:val="de-DE"/>
              </w:rPr>
            </w:pPr>
            <w:r>
              <w:rPr>
                <w:noProof/>
                <w:lang w:val="de-DE"/>
              </w:rPr>
              <w:t xml:space="preserve">Qualcomm, Incorporated, </w:t>
            </w:r>
            <w:r>
              <w:rPr>
                <w:i/>
                <w:iCs/>
                <w:noProof/>
                <w:lang w:val="de-DE"/>
              </w:rPr>
              <w:t xml:space="preserve">S4-180139 - pCR to 26.118 on Definitions for VRStream Audio, </w:t>
            </w:r>
            <w:r>
              <w:rPr>
                <w:noProof/>
                <w:lang w:val="de-DE"/>
              </w:rPr>
              <w:t xml:space="preserve">Fukuoka, Japan: 3GPP TSG SA4, 2018. </w:t>
            </w:r>
          </w:p>
        </w:tc>
      </w:tr>
    </w:tbl>
    <w:p w:rsidR="008A64B8" w:rsidRDefault="008A64B8">
      <w:pPr>
        <w:divId w:val="877353909"/>
        <w:rPr>
          <w:rFonts w:eastAsia="Times New Roman"/>
          <w:noProof/>
        </w:rPr>
      </w:pPr>
    </w:p>
    <w:p w:rsidR="00D4513D" w:rsidRPr="004E2448" w:rsidRDefault="00D4513D" w:rsidP="004E2448">
      <w:pPr>
        <w:rPr>
          <w:lang w:val="en-US"/>
        </w:rPr>
      </w:pPr>
      <w:r>
        <w:rPr>
          <w:lang w:val="en-US"/>
        </w:rPr>
        <w:fldChar w:fldCharType="end"/>
      </w:r>
    </w:p>
    <w:sectPr w:rsidR="00D4513D" w:rsidRPr="004E2448"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541D" w:rsidRDefault="0040541D">
      <w:r>
        <w:separator/>
      </w:r>
    </w:p>
  </w:endnote>
  <w:endnote w:type="continuationSeparator" w:id="0">
    <w:p w:rsidR="0040541D" w:rsidRDefault="0040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8A64B8">
      <w:rPr>
        <w:rStyle w:val="PageNumber"/>
        <w:b/>
        <w:noProof/>
        <w:sz w:val="18"/>
      </w:rPr>
      <w:t>3</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8A64B8">
      <w:rPr>
        <w:rStyle w:val="PageNumber"/>
        <w:b/>
        <w:noProof/>
        <w:sz w:val="18"/>
      </w:rPr>
      <w:t>3</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8A64B8">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8A64B8">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541D" w:rsidRDefault="0040541D">
      <w:r>
        <w:separator/>
      </w:r>
    </w:p>
  </w:footnote>
  <w:footnote w:type="continuationSeparator" w:id="0">
    <w:p w:rsidR="0040541D" w:rsidRDefault="00405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Pr="006D0105" w:rsidRDefault="004435C0" w:rsidP="004C2242">
    <w:pPr>
      <w:tabs>
        <w:tab w:val="right" w:pos="9356"/>
      </w:tabs>
      <w:spacing w:after="0"/>
      <w:rPr>
        <w:rFonts w:cs="Arial"/>
        <w:b/>
        <w:i/>
        <w:sz w:val="20"/>
      </w:rPr>
    </w:pPr>
    <w:r w:rsidRPr="006D0105">
      <w:rPr>
        <w:rFonts w:cs="Arial"/>
        <w:sz w:val="20"/>
        <w:lang w:val="en-US"/>
      </w:rPr>
      <w:t>T</w:t>
    </w:r>
    <w:r>
      <w:rPr>
        <w:rFonts w:cs="Arial"/>
        <w:sz w:val="20"/>
        <w:lang w:val="en-US"/>
      </w:rPr>
      <w:t>SG SA4#9</w:t>
    </w:r>
    <w:r w:rsidR="00A45E3D">
      <w:rPr>
        <w:rFonts w:cs="Arial"/>
        <w:sz w:val="20"/>
        <w:lang w:val="en-US"/>
      </w:rPr>
      <w:t>7</w:t>
    </w:r>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w:t>
    </w:r>
    <w:r w:rsidR="000062AC" w:rsidRPr="000062AC">
      <w:rPr>
        <w:rFonts w:cs="Arial"/>
        <w:b/>
        <w:i/>
        <w:sz w:val="28"/>
        <w:szCs w:val="28"/>
      </w:rPr>
      <w:t>S4-180140</w:t>
    </w:r>
  </w:p>
  <w:p w:rsidR="004435C0" w:rsidRPr="006D0105" w:rsidRDefault="00A45E3D" w:rsidP="004C2242">
    <w:pPr>
      <w:tabs>
        <w:tab w:val="right" w:pos="9360"/>
      </w:tabs>
      <w:spacing w:after="0"/>
      <w:rPr>
        <w:rFonts w:cs="Arial"/>
        <w:b/>
        <w:sz w:val="20"/>
        <w:lang w:val="en-US" w:eastAsia="zh-CN"/>
      </w:rPr>
    </w:pPr>
    <w:r>
      <w:rPr>
        <w:rFonts w:cs="Arial"/>
        <w:sz w:val="20"/>
        <w:lang w:eastAsia="zh-CN"/>
      </w:rPr>
      <w:t>05-</w:t>
    </w:r>
    <w:r w:rsidR="00033ADA">
      <w:rPr>
        <w:rFonts w:cs="Arial"/>
        <w:sz w:val="20"/>
        <w:lang w:eastAsia="zh-CN"/>
      </w:rPr>
      <w:t>09</w:t>
    </w:r>
    <w:r w:rsidR="004435C0">
      <w:rPr>
        <w:rFonts w:cs="Arial"/>
        <w:sz w:val="20"/>
        <w:lang w:eastAsia="zh-CN"/>
      </w:rPr>
      <w:t xml:space="preserve"> </w:t>
    </w:r>
    <w:r>
      <w:rPr>
        <w:rFonts w:cs="Arial"/>
        <w:sz w:val="20"/>
        <w:lang w:eastAsia="zh-CN"/>
      </w:rPr>
      <w:t>February</w:t>
    </w:r>
    <w:r w:rsidR="004435C0">
      <w:rPr>
        <w:rFonts w:cs="Arial"/>
        <w:sz w:val="20"/>
        <w:lang w:eastAsia="zh-CN"/>
      </w:rPr>
      <w:t xml:space="preserve">, </w:t>
    </w:r>
    <w:r>
      <w:rPr>
        <w:rFonts w:cs="Arial"/>
        <w:sz w:val="20"/>
        <w:lang w:eastAsia="zh-CN"/>
      </w:rPr>
      <w:t>Fukuoka</w:t>
    </w:r>
    <w:r w:rsidR="004435C0" w:rsidRPr="00041009">
      <w:rPr>
        <w:rFonts w:cs="Arial"/>
        <w:sz w:val="20"/>
        <w:lang w:eastAsia="zh-CN"/>
      </w:rPr>
      <w:t xml:space="preserve">, </w:t>
    </w:r>
    <w:r>
      <w:rPr>
        <w:rFonts w:cs="Arial"/>
        <w:sz w:val="20"/>
        <w:lang w:eastAsia="zh-CN"/>
      </w:rPr>
      <w:t>Japan</w:t>
    </w:r>
  </w:p>
  <w:p w:rsidR="004435C0" w:rsidRPr="006D0105" w:rsidRDefault="004435C0">
    <w:pPr>
      <w:tabs>
        <w:tab w:val="right" w:pos="9540"/>
      </w:tabs>
      <w:spacing w:after="0"/>
      <w:rPr>
        <w:sz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E94451"/>
    <w:multiLevelType w:val="hybridMultilevel"/>
    <w:tmpl w:val="2CAE6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3"/>
  </w:num>
  <w:num w:numId="5">
    <w:abstractNumId w:val="6"/>
  </w:num>
  <w:num w:numId="6">
    <w:abstractNumId w:val="8"/>
  </w:num>
  <w:num w:numId="7">
    <w:abstractNumId w:val="7"/>
  </w:num>
  <w:num w:numId="8">
    <w:abstractNumId w:val="4"/>
  </w:num>
  <w:num w:numId="9">
    <w:abstractNumId w:val="5"/>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2AC"/>
    <w:rsid w:val="00006E22"/>
    <w:rsid w:val="000073F0"/>
    <w:rsid w:val="0000777C"/>
    <w:rsid w:val="00007DFC"/>
    <w:rsid w:val="0001027C"/>
    <w:rsid w:val="000103BB"/>
    <w:rsid w:val="000106ED"/>
    <w:rsid w:val="00010E29"/>
    <w:rsid w:val="00010F6E"/>
    <w:rsid w:val="00011FAD"/>
    <w:rsid w:val="0001230D"/>
    <w:rsid w:val="0001291A"/>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305"/>
    <w:rsid w:val="00030F6E"/>
    <w:rsid w:val="000314A3"/>
    <w:rsid w:val="0003169B"/>
    <w:rsid w:val="00031CEF"/>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8D6"/>
    <w:rsid w:val="00077A25"/>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6C7"/>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1D71"/>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513F"/>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22E"/>
    <w:rsid w:val="00237FD8"/>
    <w:rsid w:val="0024048F"/>
    <w:rsid w:val="002404D2"/>
    <w:rsid w:val="00240803"/>
    <w:rsid w:val="0024151C"/>
    <w:rsid w:val="00241C2A"/>
    <w:rsid w:val="00241EC8"/>
    <w:rsid w:val="00242072"/>
    <w:rsid w:val="00242AE8"/>
    <w:rsid w:val="002433BD"/>
    <w:rsid w:val="00243682"/>
    <w:rsid w:val="00243A46"/>
    <w:rsid w:val="00243C1A"/>
    <w:rsid w:val="00243EE2"/>
    <w:rsid w:val="00244149"/>
    <w:rsid w:val="0024459B"/>
    <w:rsid w:val="002446CB"/>
    <w:rsid w:val="0024632B"/>
    <w:rsid w:val="002463A4"/>
    <w:rsid w:val="00246966"/>
    <w:rsid w:val="00247EF3"/>
    <w:rsid w:val="00250051"/>
    <w:rsid w:val="00250130"/>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3F13"/>
    <w:rsid w:val="00274ED2"/>
    <w:rsid w:val="00275A8D"/>
    <w:rsid w:val="00276151"/>
    <w:rsid w:val="002808C0"/>
    <w:rsid w:val="00280B8B"/>
    <w:rsid w:val="00281934"/>
    <w:rsid w:val="00281A5C"/>
    <w:rsid w:val="00281D59"/>
    <w:rsid w:val="00282146"/>
    <w:rsid w:val="00282F44"/>
    <w:rsid w:val="00283062"/>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14D"/>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555C"/>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785"/>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4EF"/>
    <w:rsid w:val="0037185A"/>
    <w:rsid w:val="00372F0F"/>
    <w:rsid w:val="003735F4"/>
    <w:rsid w:val="00373F03"/>
    <w:rsid w:val="00374291"/>
    <w:rsid w:val="00374665"/>
    <w:rsid w:val="0037660D"/>
    <w:rsid w:val="00376E84"/>
    <w:rsid w:val="00377889"/>
    <w:rsid w:val="0038002B"/>
    <w:rsid w:val="00380315"/>
    <w:rsid w:val="003811AC"/>
    <w:rsid w:val="00382253"/>
    <w:rsid w:val="00382EAD"/>
    <w:rsid w:val="00383770"/>
    <w:rsid w:val="003838AB"/>
    <w:rsid w:val="00384167"/>
    <w:rsid w:val="003844DC"/>
    <w:rsid w:val="00385047"/>
    <w:rsid w:val="0038551D"/>
    <w:rsid w:val="00385585"/>
    <w:rsid w:val="003857F6"/>
    <w:rsid w:val="0038699E"/>
    <w:rsid w:val="00386CA2"/>
    <w:rsid w:val="00387576"/>
    <w:rsid w:val="0038759D"/>
    <w:rsid w:val="00387699"/>
    <w:rsid w:val="00387EF1"/>
    <w:rsid w:val="0039038D"/>
    <w:rsid w:val="003908C6"/>
    <w:rsid w:val="00390B2E"/>
    <w:rsid w:val="003926D4"/>
    <w:rsid w:val="0039280E"/>
    <w:rsid w:val="0039350F"/>
    <w:rsid w:val="00394884"/>
    <w:rsid w:val="0039530E"/>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A8"/>
    <w:rsid w:val="003D1ECB"/>
    <w:rsid w:val="003D235F"/>
    <w:rsid w:val="003D3073"/>
    <w:rsid w:val="003D3605"/>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41D"/>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5128"/>
    <w:rsid w:val="0041623C"/>
    <w:rsid w:val="00416522"/>
    <w:rsid w:val="00416886"/>
    <w:rsid w:val="00416CBB"/>
    <w:rsid w:val="004202AE"/>
    <w:rsid w:val="0042262B"/>
    <w:rsid w:val="0042362B"/>
    <w:rsid w:val="00423650"/>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732C"/>
    <w:rsid w:val="00450451"/>
    <w:rsid w:val="004516BC"/>
    <w:rsid w:val="0045182B"/>
    <w:rsid w:val="00452506"/>
    <w:rsid w:val="00452C19"/>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22"/>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D7B4D"/>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46549"/>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36B8"/>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6AEC"/>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D93"/>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D83"/>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2B41"/>
    <w:rsid w:val="005E4074"/>
    <w:rsid w:val="005E4C33"/>
    <w:rsid w:val="005E636C"/>
    <w:rsid w:val="005E6BE5"/>
    <w:rsid w:val="005F0BC8"/>
    <w:rsid w:val="005F0BF8"/>
    <w:rsid w:val="005F115C"/>
    <w:rsid w:val="005F2A41"/>
    <w:rsid w:val="005F3207"/>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591"/>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134"/>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366E"/>
    <w:rsid w:val="00655A7A"/>
    <w:rsid w:val="00655D90"/>
    <w:rsid w:val="00655EA0"/>
    <w:rsid w:val="006562B1"/>
    <w:rsid w:val="00656B07"/>
    <w:rsid w:val="00656DB4"/>
    <w:rsid w:val="00660CA0"/>
    <w:rsid w:val="00661424"/>
    <w:rsid w:val="006615F1"/>
    <w:rsid w:val="0066167F"/>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58D"/>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1FC"/>
    <w:rsid w:val="00710957"/>
    <w:rsid w:val="00711A83"/>
    <w:rsid w:val="00712674"/>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000"/>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22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1C85"/>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08"/>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110C"/>
    <w:rsid w:val="0087254F"/>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4B8"/>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7AD"/>
    <w:rsid w:val="008E4B71"/>
    <w:rsid w:val="008E5420"/>
    <w:rsid w:val="008E5826"/>
    <w:rsid w:val="008E5BFD"/>
    <w:rsid w:val="008E62FC"/>
    <w:rsid w:val="008E6866"/>
    <w:rsid w:val="008E7668"/>
    <w:rsid w:val="008E797D"/>
    <w:rsid w:val="008E7A87"/>
    <w:rsid w:val="008F04C6"/>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1D"/>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A8C"/>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3D"/>
    <w:rsid w:val="00A45EF6"/>
    <w:rsid w:val="00A4668A"/>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3E51"/>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07C"/>
    <w:rsid w:val="00B24727"/>
    <w:rsid w:val="00B24A9D"/>
    <w:rsid w:val="00B26206"/>
    <w:rsid w:val="00B26466"/>
    <w:rsid w:val="00B267E2"/>
    <w:rsid w:val="00B26A1A"/>
    <w:rsid w:val="00B311D3"/>
    <w:rsid w:val="00B3167D"/>
    <w:rsid w:val="00B32A6F"/>
    <w:rsid w:val="00B33B83"/>
    <w:rsid w:val="00B344E2"/>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1C5"/>
    <w:rsid w:val="00B562CF"/>
    <w:rsid w:val="00B57090"/>
    <w:rsid w:val="00B573C6"/>
    <w:rsid w:val="00B57B4B"/>
    <w:rsid w:val="00B60E2F"/>
    <w:rsid w:val="00B61451"/>
    <w:rsid w:val="00B614FE"/>
    <w:rsid w:val="00B62311"/>
    <w:rsid w:val="00B631D0"/>
    <w:rsid w:val="00B634CE"/>
    <w:rsid w:val="00B635D2"/>
    <w:rsid w:val="00B63AB2"/>
    <w:rsid w:val="00B63B50"/>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C7"/>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574D2"/>
    <w:rsid w:val="00C6070A"/>
    <w:rsid w:val="00C609E9"/>
    <w:rsid w:val="00C60F7A"/>
    <w:rsid w:val="00C60F88"/>
    <w:rsid w:val="00C6262D"/>
    <w:rsid w:val="00C6334C"/>
    <w:rsid w:val="00C638BB"/>
    <w:rsid w:val="00C64D39"/>
    <w:rsid w:val="00C65E49"/>
    <w:rsid w:val="00C670B3"/>
    <w:rsid w:val="00C67453"/>
    <w:rsid w:val="00C70100"/>
    <w:rsid w:val="00C70318"/>
    <w:rsid w:val="00C7092D"/>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56C"/>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90B"/>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4F55"/>
    <w:rsid w:val="00D5508D"/>
    <w:rsid w:val="00D55417"/>
    <w:rsid w:val="00D55DAA"/>
    <w:rsid w:val="00D57710"/>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0EA0"/>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3A8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30CE"/>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622D"/>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52"/>
    <w:rsid w:val="00E370F2"/>
    <w:rsid w:val="00E37E9C"/>
    <w:rsid w:val="00E40BF1"/>
    <w:rsid w:val="00E4139E"/>
    <w:rsid w:val="00E42075"/>
    <w:rsid w:val="00E420DB"/>
    <w:rsid w:val="00E42368"/>
    <w:rsid w:val="00E4251A"/>
    <w:rsid w:val="00E42C81"/>
    <w:rsid w:val="00E435AB"/>
    <w:rsid w:val="00E44207"/>
    <w:rsid w:val="00E4693E"/>
    <w:rsid w:val="00E4708E"/>
    <w:rsid w:val="00E471D7"/>
    <w:rsid w:val="00E47644"/>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139"/>
    <w:rsid w:val="00E61952"/>
    <w:rsid w:val="00E6204C"/>
    <w:rsid w:val="00E62442"/>
    <w:rsid w:val="00E625A1"/>
    <w:rsid w:val="00E6349B"/>
    <w:rsid w:val="00E63D0F"/>
    <w:rsid w:val="00E63E45"/>
    <w:rsid w:val="00E6446C"/>
    <w:rsid w:val="00E644F7"/>
    <w:rsid w:val="00E64ACA"/>
    <w:rsid w:val="00E6593A"/>
    <w:rsid w:val="00E65E1D"/>
    <w:rsid w:val="00E66F66"/>
    <w:rsid w:val="00E67029"/>
    <w:rsid w:val="00E67719"/>
    <w:rsid w:val="00E700E9"/>
    <w:rsid w:val="00E70333"/>
    <w:rsid w:val="00E70C15"/>
    <w:rsid w:val="00E71501"/>
    <w:rsid w:val="00E71D35"/>
    <w:rsid w:val="00E72BCD"/>
    <w:rsid w:val="00E7313B"/>
    <w:rsid w:val="00E742DA"/>
    <w:rsid w:val="00E7599F"/>
    <w:rsid w:val="00E75C68"/>
    <w:rsid w:val="00E76859"/>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1F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47A"/>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763"/>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4D8"/>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3E593"/>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5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7A4CA9"/>
    <w:rPr>
      <w:rFonts w:ascii="Arial" w:hAnsi="Arial"/>
      <w:sz w:val="24"/>
      <w:lang w:val="en-GB" w:eastAsia="en-US"/>
    </w:rPr>
  </w:style>
  <w:style w:type="paragraph" w:styleId="Bibliography">
    <w:name w:val="Bibliography"/>
    <w:basedOn w:val="Normal"/>
    <w:next w:val="Normal"/>
    <w:uiPriority w:val="37"/>
    <w:unhideWhenUsed/>
    <w:rsid w:val="007A4CA9"/>
  </w:style>
  <w:style w:type="paragraph" w:styleId="Caption">
    <w:name w:val="caption"/>
    <w:basedOn w:val="Normal"/>
    <w:next w:val="Normal"/>
    <w:link w:val="CaptionChar"/>
    <w:uiPriority w:val="35"/>
    <w:unhideWhenUsed/>
    <w:qFormat/>
    <w:rsid w:val="009E4F35"/>
    <w:pPr>
      <w:spacing w:after="200" w:line="240" w:lineRule="auto"/>
    </w:pPr>
    <w:rPr>
      <w:i/>
      <w:iCs/>
      <w:color w:val="44546A" w:themeColor="text2"/>
      <w:sz w:val="18"/>
      <w:szCs w:val="18"/>
    </w:rPr>
  </w:style>
  <w:style w:type="paragraph" w:styleId="CommentText">
    <w:name w:val="annotation text"/>
    <w:basedOn w:val="Normal"/>
    <w:link w:val="CommentTextChar"/>
    <w:rsid w:val="00E76859"/>
    <w:pPr>
      <w:spacing w:line="240" w:lineRule="auto"/>
    </w:pPr>
    <w:rPr>
      <w:sz w:val="20"/>
    </w:rPr>
  </w:style>
  <w:style w:type="character" w:customStyle="1" w:styleId="CommentTextChar">
    <w:name w:val="Comment Text Char"/>
    <w:basedOn w:val="DefaultParagraphFont"/>
    <w:link w:val="CommentText"/>
    <w:rsid w:val="00E76859"/>
    <w:rPr>
      <w:rFonts w:ascii="Arial" w:hAnsi="Arial"/>
      <w:lang w:val="en-GB" w:eastAsia="en-US"/>
    </w:rPr>
  </w:style>
  <w:style w:type="paragraph" w:styleId="CommentSubject">
    <w:name w:val="annotation subject"/>
    <w:basedOn w:val="CommentText"/>
    <w:next w:val="CommentText"/>
    <w:link w:val="CommentSubjectChar"/>
    <w:rsid w:val="00E76859"/>
    <w:rPr>
      <w:b/>
      <w:bCs/>
    </w:rPr>
  </w:style>
  <w:style w:type="character" w:customStyle="1" w:styleId="CommentSubjectChar">
    <w:name w:val="Comment Subject Char"/>
    <w:basedOn w:val="CommentTextChar"/>
    <w:link w:val="CommentSubject"/>
    <w:rsid w:val="00E76859"/>
    <w:rPr>
      <w:rFonts w:ascii="Arial" w:hAnsi="Arial"/>
      <w:b/>
      <w:bCs/>
      <w:lang w:val="en-GB" w:eastAsia="en-US"/>
    </w:rPr>
  </w:style>
  <w:style w:type="character" w:styleId="PlaceholderText">
    <w:name w:val="Placeholder Text"/>
    <w:basedOn w:val="DefaultParagraphFont"/>
    <w:uiPriority w:val="99"/>
    <w:semiHidden/>
    <w:rsid w:val="000B46C7"/>
    <w:rPr>
      <w:color w:val="808080"/>
    </w:rPr>
  </w:style>
  <w:style w:type="character" w:customStyle="1" w:styleId="CaptionChar">
    <w:name w:val="Caption Char"/>
    <w:link w:val="Caption"/>
    <w:uiPriority w:val="35"/>
    <w:rsid w:val="00415128"/>
    <w:rPr>
      <w:rFonts w:ascii="Arial" w:hAnsi="Arial"/>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26767774">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31371">
      <w:bodyDiv w:val="1"/>
      <w:marLeft w:val="0"/>
      <w:marRight w:val="0"/>
      <w:marTop w:val="0"/>
      <w:marBottom w:val="0"/>
      <w:divBdr>
        <w:top w:val="none" w:sz="0" w:space="0" w:color="auto"/>
        <w:left w:val="none" w:sz="0" w:space="0" w:color="auto"/>
        <w:bottom w:val="none" w:sz="0" w:space="0" w:color="auto"/>
        <w:right w:val="none" w:sz="0" w:space="0" w:color="auto"/>
      </w:divBdr>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4322757">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13420941">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1853492">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7353909">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0894909">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074898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1147280">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02267243">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252531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55362949">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28847712">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2840119">
      <w:bodyDiv w:val="1"/>
      <w:marLeft w:val="0"/>
      <w:marRight w:val="0"/>
      <w:marTop w:val="0"/>
      <w:marBottom w:val="0"/>
      <w:divBdr>
        <w:top w:val="none" w:sz="0" w:space="0" w:color="auto"/>
        <w:left w:val="none" w:sz="0" w:space="0" w:color="auto"/>
        <w:bottom w:val="none" w:sz="0" w:space="0" w:color="auto"/>
        <w:right w:val="none" w:sz="0" w:space="0" w:color="auto"/>
      </w:divBdr>
    </w:div>
    <w:div w:id="1555239842">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2375167">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2299300">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28530890">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5924959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38612702">
      <w:bodyDiv w:val="1"/>
      <w:marLeft w:val="0"/>
      <w:marRight w:val="0"/>
      <w:marTop w:val="0"/>
      <w:marBottom w:val="0"/>
      <w:divBdr>
        <w:top w:val="none" w:sz="0" w:space="0" w:color="auto"/>
        <w:left w:val="none" w:sz="0" w:space="0" w:color="auto"/>
        <w:bottom w:val="none" w:sz="0" w:space="0" w:color="auto"/>
        <w:right w:val="none" w:sz="0" w:space="0" w:color="auto"/>
      </w:divBdr>
    </w:div>
    <w:div w:id="1846551920">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7326203">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8795105">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82754121">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8207294">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FE3120EC-9FAC-4489-8717-E9AFA18FF3C0@san.rr.co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S4180139</b:Tag>
    <b:SourceType>Misc</b:SourceType>
    <b:Guid>{3691F043-E04A-4131-A439-5CAD031FD54E}</b:Guid>
    <b:Title>S4-180139 - pCR to 26.118 on Definitions for VRStream Audio</b:Title>
    <b:Year>2018</b:Year>
    <b:Publisher>3GPP TSG SA4</b:Publisher>
    <b:City>Fukuoka, Japan</b:City>
    <b:Author>
      <b:Author>
        <b:Corporate>Qualcomm, Incorporated</b:Corporate>
      </b:Author>
    </b:Author>
    <b:RefOrder>1</b:RefOrder>
  </b:Source>
</b:Sources>
</file>

<file path=customXml/itemProps1.xml><?xml version="1.0" encoding="utf-8"?>
<ds:datastoreItem xmlns:ds="http://schemas.openxmlformats.org/officeDocument/2006/customXml" ds:itemID="{AB10BB61-F040-4BE0-B115-75E59F99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571</Words>
  <Characters>3257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 SA4#89</vt:lpstr>
      <vt:lpstr>Agenda SA4#89</vt:lpstr>
    </vt:vector>
  </TitlesOfParts>
  <Company>Nokia</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Andre Schevciw</dc:creator>
  <cp:keywords/>
  <cp:lastModifiedBy>Andre Schevciw</cp:lastModifiedBy>
  <cp:revision>2</cp:revision>
  <cp:lastPrinted>2016-05-03T09:51:00Z</cp:lastPrinted>
  <dcterms:created xsi:type="dcterms:W3CDTF">2018-01-30T20:06:00Z</dcterms:created>
  <dcterms:modified xsi:type="dcterms:W3CDTF">2018-01-30T20:06:00Z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